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33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5"/>
        <w:gridCol w:w="1093"/>
        <w:gridCol w:w="2325"/>
        <w:gridCol w:w="1523"/>
        <w:gridCol w:w="1093"/>
        <w:gridCol w:w="1093"/>
        <w:gridCol w:w="575"/>
        <w:gridCol w:w="640"/>
        <w:gridCol w:w="153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0335" w:type="dxa"/>
            <w:gridSpan w:val="9"/>
            <w:vAlign w:val="top"/>
          </w:tcPr>
          <w:p>
            <w:pPr>
              <w:pStyle w:val="6"/>
              <w:spacing w:before="78" w:line="171" w:lineRule="auto"/>
              <w:ind w:left="3843"/>
              <w:rPr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财政项目支出绩效自评表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335" w:type="dxa"/>
            <w:gridSpan w:val="9"/>
            <w:vAlign w:val="top"/>
          </w:tcPr>
          <w:p>
            <w:pPr>
              <w:pStyle w:val="6"/>
              <w:spacing w:before="72" w:line="170" w:lineRule="auto"/>
              <w:ind w:left="4514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(2023 年度)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548" w:type="dxa"/>
            <w:gridSpan w:val="2"/>
            <w:vAlign w:val="top"/>
          </w:tcPr>
          <w:p>
            <w:pPr>
              <w:pStyle w:val="6"/>
              <w:spacing w:before="261" w:line="183" w:lineRule="auto"/>
              <w:ind w:left="404"/>
            </w:pPr>
            <w:r>
              <w:rPr>
                <w:spacing w:val="-1"/>
              </w:rPr>
              <w:t>项目名称</w:t>
            </w:r>
          </w:p>
        </w:tc>
        <w:tc>
          <w:tcPr>
            <w:tcW w:w="8787" w:type="dxa"/>
            <w:gridSpan w:val="7"/>
            <w:vAlign w:val="top"/>
          </w:tcPr>
          <w:p>
            <w:pPr>
              <w:pStyle w:val="6"/>
              <w:spacing w:before="28" w:line="180" w:lineRule="auto"/>
              <w:ind w:left="3171"/>
            </w:pPr>
            <w:r>
              <w:rPr>
                <w:spacing w:val="-2"/>
              </w:rPr>
              <w:t>BX21-D-7宝山区公共信用信息</w:t>
            </w:r>
          </w:p>
          <w:p>
            <w:pPr>
              <w:pStyle w:val="6"/>
              <w:spacing w:line="182" w:lineRule="auto"/>
              <w:ind w:left="3216"/>
            </w:pPr>
            <w:r>
              <w:rPr>
                <w:spacing w:val="-1"/>
              </w:rPr>
              <w:t>服务系统（三期</w:t>
            </w:r>
            <w:r>
              <w:rPr>
                <w:spacing w:val="3"/>
              </w:rPr>
              <w:t>）（</w:t>
            </w:r>
            <w:r>
              <w:rPr>
                <w:spacing w:val="-1"/>
              </w:rPr>
              <w:t>资金审批</w:t>
            </w:r>
          </w:p>
          <w:p>
            <w:pPr>
              <w:pStyle w:val="6"/>
              <w:spacing w:line="194" w:lineRule="exact"/>
              <w:ind w:left="3941"/>
            </w:pPr>
            <w:r>
              <w:rPr>
                <w:spacing w:val="2"/>
              </w:rPr>
              <w:t>表23002）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548" w:type="dxa"/>
            <w:gridSpan w:val="2"/>
            <w:vAlign w:val="top"/>
          </w:tcPr>
          <w:p>
            <w:pPr>
              <w:pStyle w:val="6"/>
              <w:spacing w:before="145" w:line="183" w:lineRule="auto"/>
              <w:ind w:left="407"/>
            </w:pPr>
            <w:r>
              <w:rPr>
                <w:spacing w:val="-1"/>
              </w:rPr>
              <w:t>主管部门</w:t>
            </w:r>
          </w:p>
        </w:tc>
        <w:tc>
          <w:tcPr>
            <w:tcW w:w="4941" w:type="dxa"/>
            <w:gridSpan w:val="3"/>
            <w:vAlign w:val="top"/>
          </w:tcPr>
          <w:p>
            <w:pPr>
              <w:pStyle w:val="6"/>
              <w:spacing w:before="28" w:line="184" w:lineRule="auto"/>
              <w:ind w:left="1386"/>
            </w:pPr>
            <w:r>
              <w:rPr>
                <w:spacing w:val="-1"/>
              </w:rPr>
              <w:t>上海市宝山区发展和改革委</w:t>
            </w:r>
            <w:r>
              <w:rPr>
                <w:spacing w:val="-2"/>
              </w:rPr>
              <w:t>员会</w:t>
            </w:r>
          </w:p>
        </w:tc>
        <w:tc>
          <w:tcPr>
            <w:tcW w:w="1093" w:type="dxa"/>
            <w:vAlign w:val="top"/>
          </w:tcPr>
          <w:p>
            <w:pPr>
              <w:pStyle w:val="6"/>
              <w:spacing w:before="145" w:line="183" w:lineRule="auto"/>
              <w:ind w:left="185"/>
            </w:pPr>
            <w:r>
              <w:rPr>
                <w:spacing w:val="-1"/>
              </w:rPr>
              <w:t>实施单位</w:t>
            </w:r>
          </w:p>
        </w:tc>
        <w:tc>
          <w:tcPr>
            <w:tcW w:w="2753" w:type="dxa"/>
            <w:gridSpan w:val="3"/>
            <w:vAlign w:val="top"/>
          </w:tcPr>
          <w:p>
            <w:pPr>
              <w:pStyle w:val="6"/>
              <w:spacing w:before="28" w:line="182" w:lineRule="auto"/>
              <w:ind w:left="655"/>
            </w:pPr>
            <w:r>
              <w:rPr>
                <w:spacing w:val="-1"/>
              </w:rPr>
              <w:t>上海市宝山区发展</w:t>
            </w:r>
          </w:p>
          <w:p>
            <w:pPr>
              <w:pStyle w:val="6"/>
              <w:spacing w:line="192" w:lineRule="exact"/>
              <w:ind w:left="832"/>
            </w:pPr>
            <w:r>
              <w:rPr>
                <w:spacing w:val="-1"/>
              </w:rPr>
              <w:t>和改革委员会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4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92" w:lineRule="auto"/>
              <w:ind w:left="404"/>
            </w:pPr>
            <w:r>
              <w:rPr>
                <w:spacing w:val="-1"/>
              </w:rPr>
              <w:t>项目资金</w:t>
            </w:r>
          </w:p>
          <w:p>
            <w:pPr>
              <w:pStyle w:val="6"/>
              <w:spacing w:before="1" w:line="172" w:lineRule="auto"/>
              <w:ind w:left="475"/>
            </w:pPr>
            <w:r>
              <w:rPr>
                <w:spacing w:val="11"/>
              </w:rPr>
              <w:t>（元）</w:t>
            </w:r>
          </w:p>
        </w:tc>
        <w:tc>
          <w:tcPr>
            <w:tcW w:w="23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>
            <w:pPr>
              <w:pStyle w:val="6"/>
              <w:spacing w:before="145" w:line="183" w:lineRule="auto"/>
              <w:ind w:left="306"/>
            </w:pPr>
            <w:r>
              <w:rPr>
                <w:spacing w:val="-1"/>
              </w:rPr>
              <w:t>年初预算数</w:t>
            </w:r>
          </w:p>
        </w:tc>
        <w:tc>
          <w:tcPr>
            <w:tcW w:w="1093" w:type="dxa"/>
            <w:vAlign w:val="top"/>
          </w:tcPr>
          <w:p>
            <w:pPr>
              <w:pStyle w:val="6"/>
              <w:spacing w:before="145" w:line="183" w:lineRule="auto"/>
              <w:ind w:left="92"/>
            </w:pPr>
            <w:r>
              <w:rPr>
                <w:spacing w:val="-1"/>
              </w:rPr>
              <w:t>全年预算数</w:t>
            </w:r>
          </w:p>
        </w:tc>
        <w:tc>
          <w:tcPr>
            <w:tcW w:w="1093" w:type="dxa"/>
            <w:vAlign w:val="top"/>
          </w:tcPr>
          <w:p>
            <w:pPr>
              <w:pStyle w:val="6"/>
              <w:spacing w:before="145" w:line="183" w:lineRule="auto"/>
              <w:ind w:left="94"/>
            </w:pPr>
            <w:r>
              <w:rPr>
                <w:spacing w:val="-1"/>
              </w:rPr>
              <w:t>全年执行数</w:t>
            </w:r>
          </w:p>
        </w:tc>
        <w:tc>
          <w:tcPr>
            <w:tcW w:w="575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145" w:line="183" w:lineRule="auto"/>
              <w:ind w:left="106"/>
            </w:pPr>
            <w:r>
              <w:rPr>
                <w:spacing w:val="-1"/>
              </w:rPr>
              <w:t>分值</w:t>
            </w:r>
          </w:p>
        </w:tc>
        <w:tc>
          <w:tcPr>
            <w:tcW w:w="64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145" w:line="183" w:lineRule="auto"/>
              <w:ind w:left="53"/>
            </w:pPr>
            <w:r>
              <w:rPr>
                <w:spacing w:val="-1"/>
              </w:rPr>
              <w:t>执行率</w:t>
            </w:r>
          </w:p>
        </w:tc>
        <w:tc>
          <w:tcPr>
            <w:tcW w:w="1538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145" w:line="183" w:lineRule="auto"/>
              <w:ind w:left="588"/>
            </w:pPr>
            <w:r>
              <w:rPr>
                <w:spacing w:val="-1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4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pStyle w:val="6"/>
              <w:spacing w:before="144" w:line="184" w:lineRule="auto"/>
            </w:pPr>
            <w:r>
              <w:rPr>
                <w:spacing w:val="-1"/>
              </w:rPr>
              <w:t>年度资金总额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159" w:line="173" w:lineRule="auto"/>
              <w:ind w:left="318"/>
            </w:pPr>
            <w:r>
              <w:rPr>
                <w:spacing w:val="-1"/>
              </w:rPr>
              <w:t>920000.00</w:t>
            </w:r>
          </w:p>
        </w:tc>
        <w:tc>
          <w:tcPr>
            <w:tcW w:w="1093" w:type="dxa"/>
            <w:vAlign w:val="top"/>
          </w:tcPr>
          <w:p>
            <w:pPr>
              <w:pStyle w:val="6"/>
              <w:spacing w:before="159" w:line="173" w:lineRule="auto"/>
              <w:ind w:left="105"/>
            </w:pPr>
            <w:r>
              <w:rPr>
                <w:spacing w:val="-1"/>
              </w:rPr>
              <w:t>920000.00</w:t>
            </w:r>
          </w:p>
        </w:tc>
        <w:tc>
          <w:tcPr>
            <w:tcW w:w="1093" w:type="dxa"/>
            <w:vAlign w:val="top"/>
          </w:tcPr>
          <w:p>
            <w:pPr>
              <w:pStyle w:val="6"/>
              <w:spacing w:before="159" w:line="173" w:lineRule="auto"/>
              <w:ind w:left="216"/>
            </w:pPr>
            <w:r>
              <w:rPr>
                <w:spacing w:val="-2"/>
              </w:rPr>
              <w:t>399,525</w:t>
            </w:r>
          </w:p>
        </w:tc>
        <w:tc>
          <w:tcPr>
            <w:tcW w:w="575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157" w:line="174" w:lineRule="auto"/>
              <w:ind w:left="197"/>
            </w:pPr>
            <w:r>
              <w:rPr>
                <w:spacing w:val="-5"/>
              </w:rPr>
              <w:t>10</w:t>
            </w:r>
          </w:p>
        </w:tc>
        <w:tc>
          <w:tcPr>
            <w:tcW w:w="64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159" w:line="173" w:lineRule="auto"/>
              <w:jc w:val="right"/>
            </w:pPr>
            <w:r>
              <w:rPr>
                <w:spacing w:val="-1"/>
              </w:rPr>
              <w:t>43.43%</w:t>
            </w:r>
          </w:p>
        </w:tc>
        <w:tc>
          <w:tcPr>
            <w:tcW w:w="1538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159" w:line="173" w:lineRule="auto"/>
              <w:ind w:left="587"/>
            </w:pPr>
            <w:r>
              <w:rPr>
                <w:spacing w:val="-1"/>
              </w:rPr>
              <w:t>4.34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4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pStyle w:val="6"/>
              <w:spacing w:before="147" w:line="183" w:lineRule="auto"/>
              <w:ind w:left="209"/>
            </w:pPr>
            <w:r>
              <w:rPr>
                <w:spacing w:val="-1"/>
              </w:rPr>
              <w:t>其中：当年财政拨款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160" w:line="173" w:lineRule="auto"/>
              <w:ind w:left="580"/>
            </w:pPr>
            <w:r>
              <w:rPr>
                <w:spacing w:val="-2"/>
              </w:rPr>
              <w:t>0.00</w:t>
            </w:r>
          </w:p>
        </w:tc>
        <w:tc>
          <w:tcPr>
            <w:tcW w:w="1093" w:type="dxa"/>
            <w:vAlign w:val="top"/>
          </w:tcPr>
          <w:p>
            <w:pPr>
              <w:pStyle w:val="6"/>
              <w:spacing w:before="160" w:line="173" w:lineRule="auto"/>
              <w:ind w:left="368"/>
              <w:jc w:val="center"/>
            </w:pPr>
            <w:r>
              <w:rPr>
                <w:spacing w:val="-2"/>
              </w:rPr>
              <w:t>399,525</w:t>
            </w:r>
          </w:p>
        </w:tc>
        <w:tc>
          <w:tcPr>
            <w:tcW w:w="10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5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238" w:line="144" w:lineRule="exact"/>
              <w:ind w:left="187"/>
            </w:pPr>
            <w:r>
              <w:rPr>
                <w:position w:val="-1"/>
              </w:rPr>
              <w:t>—</w:t>
            </w:r>
          </w:p>
        </w:tc>
        <w:tc>
          <w:tcPr>
            <w:tcW w:w="64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8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4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pStyle w:val="6"/>
              <w:spacing w:before="146" w:line="184" w:lineRule="auto"/>
              <w:ind w:left="848"/>
            </w:pPr>
            <w:r>
              <w:rPr>
                <w:spacing w:val="-1"/>
              </w:rPr>
              <w:t>上年结转资金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161" w:line="173" w:lineRule="auto"/>
              <w:ind w:left="580"/>
            </w:pPr>
            <w:r>
              <w:rPr>
                <w:spacing w:val="-2"/>
              </w:rPr>
              <w:t>0.00</w:t>
            </w:r>
          </w:p>
        </w:tc>
        <w:tc>
          <w:tcPr>
            <w:tcW w:w="1093" w:type="dxa"/>
            <w:vAlign w:val="top"/>
          </w:tcPr>
          <w:p>
            <w:pPr>
              <w:pStyle w:val="6"/>
              <w:spacing w:before="161" w:line="173" w:lineRule="auto"/>
              <w:ind w:left="368"/>
            </w:pPr>
            <w:r>
              <w:rPr>
                <w:spacing w:val="-2"/>
              </w:rPr>
              <w:t>0.00</w:t>
            </w:r>
          </w:p>
        </w:tc>
        <w:tc>
          <w:tcPr>
            <w:tcW w:w="10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5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239" w:line="144" w:lineRule="exact"/>
              <w:ind w:left="187"/>
            </w:pPr>
            <w:r>
              <w:rPr>
                <w:position w:val="-1"/>
              </w:rPr>
              <w:t>—</w:t>
            </w:r>
          </w:p>
        </w:tc>
        <w:tc>
          <w:tcPr>
            <w:tcW w:w="64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8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4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pStyle w:val="6"/>
              <w:spacing w:before="147" w:line="184" w:lineRule="auto"/>
              <w:ind w:left="847"/>
            </w:pPr>
            <w:r>
              <w:rPr>
                <w:spacing w:val="-1"/>
              </w:rPr>
              <w:t>其他资金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162" w:line="173" w:lineRule="auto"/>
              <w:ind w:left="580"/>
            </w:pPr>
            <w:r>
              <w:rPr>
                <w:spacing w:val="-2"/>
              </w:rPr>
              <w:t>0.00</w:t>
            </w:r>
          </w:p>
        </w:tc>
        <w:tc>
          <w:tcPr>
            <w:tcW w:w="1093" w:type="dxa"/>
            <w:vAlign w:val="top"/>
          </w:tcPr>
          <w:p>
            <w:pPr>
              <w:pStyle w:val="6"/>
              <w:spacing w:before="162" w:line="173" w:lineRule="auto"/>
              <w:ind w:left="368"/>
            </w:pPr>
            <w:r>
              <w:rPr>
                <w:spacing w:val="-2"/>
              </w:rPr>
              <w:t>0.00</w:t>
            </w:r>
          </w:p>
        </w:tc>
        <w:tc>
          <w:tcPr>
            <w:tcW w:w="10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5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240" w:line="144" w:lineRule="exact"/>
              <w:ind w:left="187"/>
            </w:pPr>
            <w:r>
              <w:rPr>
                <w:position w:val="-1"/>
              </w:rPr>
              <w:t>—</w:t>
            </w:r>
          </w:p>
        </w:tc>
        <w:tc>
          <w:tcPr>
            <w:tcW w:w="64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8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45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before="156" w:line="182" w:lineRule="auto"/>
              <w:ind w:left="38" w:right="44" w:firstLine="1"/>
              <w:jc w:val="both"/>
            </w:pPr>
            <w:r>
              <w:rPr>
                <w:spacing w:val="-2"/>
              </w:rPr>
              <w:t>年度</w:t>
            </w:r>
            <w:r>
              <w:t xml:space="preserve"> </w:t>
            </w:r>
            <w:r>
              <w:rPr>
                <w:spacing w:val="-2"/>
              </w:rPr>
              <w:t>总体</w:t>
            </w:r>
            <w:r>
              <w:t xml:space="preserve"> </w:t>
            </w:r>
            <w:r>
              <w:rPr>
                <w:spacing w:val="-2"/>
              </w:rPr>
              <w:t>目标</w:t>
            </w:r>
          </w:p>
        </w:tc>
        <w:tc>
          <w:tcPr>
            <w:tcW w:w="6034" w:type="dxa"/>
            <w:gridSpan w:val="4"/>
            <w:vAlign w:val="top"/>
          </w:tcPr>
          <w:p>
            <w:pPr>
              <w:pStyle w:val="6"/>
              <w:spacing w:before="151" w:line="182" w:lineRule="auto"/>
              <w:ind w:left="2650"/>
            </w:pPr>
            <w:r>
              <w:rPr>
                <w:spacing w:val="-1"/>
              </w:rPr>
              <w:t>预期目标</w:t>
            </w:r>
          </w:p>
        </w:tc>
        <w:tc>
          <w:tcPr>
            <w:tcW w:w="3846" w:type="dxa"/>
            <w:gridSpan w:val="4"/>
            <w:vAlign w:val="top"/>
          </w:tcPr>
          <w:p>
            <w:pPr>
              <w:pStyle w:val="6"/>
              <w:spacing w:before="150" w:line="183" w:lineRule="auto"/>
              <w:ind w:left="1379"/>
            </w:pPr>
            <w:r>
              <w:rPr>
                <w:spacing w:val="-1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8" w:hRule="atLeast"/>
        </w:trPr>
        <w:tc>
          <w:tcPr>
            <w:tcW w:w="45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34" w:type="dxa"/>
            <w:gridSpan w:val="4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3" w:lineRule="auto"/>
              <w:textAlignment w:val="baseline"/>
            </w:pPr>
            <w:r>
              <w:rPr>
                <w:rFonts w:hint="eastAsia" w:ascii="仿宋" w:hAnsi="仿宋" w:cstheme="minorBidi"/>
                <w:highlight w:val="none"/>
              </w:rPr>
              <w:t>以当前宝山区社会信用体系和信易贷平台建设实际需求为出发点，结合近期国家、上海市对各区的工作要求，在深入分析现有项目基础上，调整并开展本期项目建设，在制度建设、平台建设、日常工作、信用宣传、特色应用等方面进行系统性优化完善，以此来补足短板并快速提升宝山区社会信用体系建设水平。力争到2023年实现信用规章制度和标准规范体系相对健全，公共信用信息全覆盖，信用监管机制发挥效用，守信激励和失信惩戒机制全面发挥作用，信用应用有效试点开展，诚信意识普遍强化的具有宝山特色的社会信用体系，同时</w:t>
            </w:r>
            <w:r>
              <w:rPr>
                <w:rFonts w:hint="eastAsia"/>
                <w:highlight w:val="none"/>
              </w:rPr>
              <w:t>加强信用信息共享运用，助力中小企业纾困发展，</w:t>
            </w:r>
            <w:r>
              <w:rPr>
                <w:rFonts w:hint="eastAsia"/>
                <w:szCs w:val="28"/>
                <w:highlight w:val="none"/>
              </w:rPr>
              <w:t>结合本区产业导向和功能定位开展特色化应用和服务模式创新，发挥区级政府贴近企业、资源整合、特色创新等优势，打通信用融资和相关政策服务落地最后一公里</w:t>
            </w:r>
            <w:r>
              <w:rPr>
                <w:rFonts w:hint="eastAsia" w:ascii="仿宋" w:hAnsi="仿宋" w:cs="仿宋"/>
                <w:szCs w:val="28"/>
                <w:highlight w:val="none"/>
              </w:rPr>
              <w:t>。</w:t>
            </w:r>
          </w:p>
        </w:tc>
        <w:tc>
          <w:tcPr>
            <w:tcW w:w="3846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/>
              <w:shd w:val="clear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3" w:lineRule="auto"/>
              <w:ind w:firstLine="360" w:firstLineChars="200"/>
              <w:textAlignment w:val="baseline"/>
            </w:pPr>
            <w:r>
              <w:rPr>
                <w:rFonts w:hint="eastAsia" w:ascii="仿宋" w:hAnsi="仿宋" w:eastAsia="微软雅黑" w:cstheme="minorBidi"/>
                <w:snapToGrid w:val="0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  <w:t>融资服务运营中台、融资服务合作机构中台、融资服务系统管理后台、信用中国（上海宝山）网站、宝山区企业信用信息数据库、组织机构信用信息数据库、信用信息数据共享交换子系统全部升级建设完成，并建立一体化政务网站部署在政务外网上，提供双公示查询、数据报送、信用查询、信息提醒、用户中心和平台管理等功能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455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6"/>
              <w:spacing w:before="134" w:line="180" w:lineRule="auto"/>
              <w:ind w:left="2176"/>
            </w:pPr>
            <w:r>
              <w:rPr>
                <w:spacing w:val="-2"/>
              </w:rPr>
              <w:t>绩 效 指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标</w:t>
            </w:r>
          </w:p>
        </w:tc>
        <w:tc>
          <w:tcPr>
            <w:tcW w:w="1093" w:type="dxa"/>
            <w:vAlign w:val="top"/>
          </w:tcPr>
          <w:p>
            <w:pPr>
              <w:pStyle w:val="6"/>
              <w:spacing w:before="154" w:line="182" w:lineRule="auto"/>
              <w:ind w:left="175"/>
            </w:pPr>
            <w:r>
              <w:rPr>
                <w:spacing w:val="-1"/>
              </w:rPr>
              <w:t>一级指标</w:t>
            </w:r>
          </w:p>
        </w:tc>
        <w:tc>
          <w:tcPr>
            <w:tcW w:w="2325" w:type="dxa"/>
            <w:vAlign w:val="top"/>
          </w:tcPr>
          <w:p>
            <w:pPr>
              <w:pStyle w:val="6"/>
              <w:spacing w:before="154" w:line="182" w:lineRule="auto"/>
              <w:ind w:left="796"/>
            </w:pPr>
            <w:r>
              <w:rPr>
                <w:spacing w:val="-1"/>
              </w:rPr>
              <w:t>二级指标</w:t>
            </w:r>
          </w:p>
        </w:tc>
        <w:tc>
          <w:tcPr>
            <w:tcW w:w="1523" w:type="dxa"/>
            <w:vAlign w:val="top"/>
          </w:tcPr>
          <w:p>
            <w:pPr>
              <w:pStyle w:val="6"/>
              <w:spacing w:before="154" w:line="182" w:lineRule="auto"/>
              <w:ind w:left="398"/>
            </w:pPr>
            <w:r>
              <w:rPr>
                <w:spacing w:val="-1"/>
              </w:rPr>
              <w:t>三级指标</w:t>
            </w:r>
          </w:p>
        </w:tc>
        <w:tc>
          <w:tcPr>
            <w:tcW w:w="1093" w:type="dxa"/>
            <w:vAlign w:val="top"/>
          </w:tcPr>
          <w:p>
            <w:pPr>
              <w:pStyle w:val="6"/>
              <w:spacing w:before="35" w:line="183" w:lineRule="auto"/>
              <w:ind w:left="363"/>
            </w:pPr>
            <w:r>
              <w:rPr>
                <w:spacing w:val="-1"/>
              </w:rPr>
              <w:t>年度</w:t>
            </w:r>
          </w:p>
          <w:p>
            <w:pPr>
              <w:pStyle w:val="6"/>
              <w:spacing w:line="185" w:lineRule="exact"/>
              <w:ind w:left="272"/>
            </w:pPr>
            <w:r>
              <w:rPr>
                <w:spacing w:val="-1"/>
                <w:position w:val="-1"/>
              </w:rPr>
              <w:t>指标值</w:t>
            </w:r>
          </w:p>
        </w:tc>
        <w:tc>
          <w:tcPr>
            <w:tcW w:w="1093" w:type="dxa"/>
            <w:vAlign w:val="top"/>
          </w:tcPr>
          <w:p>
            <w:pPr>
              <w:pStyle w:val="6"/>
              <w:spacing w:before="37" w:line="181" w:lineRule="auto"/>
              <w:ind w:left="365"/>
            </w:pPr>
            <w:r>
              <w:rPr>
                <w:spacing w:val="-1"/>
              </w:rPr>
              <w:t>实际</w:t>
            </w:r>
          </w:p>
          <w:p>
            <w:pPr>
              <w:pStyle w:val="6"/>
              <w:spacing w:line="185" w:lineRule="exact"/>
              <w:ind w:left="275"/>
            </w:pPr>
            <w:r>
              <w:rPr>
                <w:spacing w:val="-1"/>
                <w:position w:val="-1"/>
              </w:rPr>
              <w:t>完成值</w:t>
            </w:r>
          </w:p>
        </w:tc>
        <w:tc>
          <w:tcPr>
            <w:tcW w:w="575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153" w:line="183" w:lineRule="auto"/>
              <w:ind w:left="106"/>
            </w:pPr>
            <w:r>
              <w:rPr>
                <w:spacing w:val="-1"/>
              </w:rPr>
              <w:t>分值</w:t>
            </w:r>
          </w:p>
        </w:tc>
        <w:tc>
          <w:tcPr>
            <w:tcW w:w="64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153" w:line="183" w:lineRule="auto"/>
              <w:ind w:left="142"/>
            </w:pPr>
            <w:r>
              <w:rPr>
                <w:spacing w:val="-1"/>
              </w:rPr>
              <w:t>得分</w:t>
            </w:r>
          </w:p>
        </w:tc>
        <w:tc>
          <w:tcPr>
            <w:tcW w:w="1538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before="36" w:line="163" w:lineRule="auto"/>
              <w:ind w:left="412" w:right="129" w:hanging="274"/>
            </w:pPr>
            <w:r>
              <w:rPr>
                <w:spacing w:val="-1"/>
              </w:rPr>
              <w:t>偏差原因分析及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改进措施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5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3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3" w:lineRule="auto"/>
              <w:ind w:left="175"/>
            </w:pPr>
            <w:r>
              <w:rPr>
                <w:spacing w:val="-1"/>
              </w:rPr>
              <w:t>产出指标</w:t>
            </w:r>
          </w:p>
        </w:tc>
        <w:tc>
          <w:tcPr>
            <w:tcW w:w="2325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82" w:lineRule="auto"/>
              <w:ind w:left="792"/>
            </w:pPr>
            <w:r>
              <w:rPr>
                <w:spacing w:val="-1"/>
              </w:rPr>
              <w:t>数量指标</w:t>
            </w:r>
          </w:p>
        </w:tc>
        <w:tc>
          <w:tcPr>
            <w:tcW w:w="1523" w:type="dxa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82" w:lineRule="auto"/>
              <w:ind w:left="484"/>
            </w:pPr>
            <w:r>
              <w:rPr>
                <w:spacing w:val="-1"/>
              </w:rPr>
              <w:t>项目数</w:t>
            </w:r>
          </w:p>
        </w:tc>
        <w:tc>
          <w:tcPr>
            <w:tcW w:w="1093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74" w:lineRule="auto"/>
              <w:ind w:left="443"/>
            </w:pPr>
            <w:r>
              <w:rPr>
                <w:spacing w:val="-7"/>
              </w:rPr>
              <w:t>=1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575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</w:t>
            </w:r>
          </w:p>
        </w:tc>
        <w:tc>
          <w:tcPr>
            <w:tcW w:w="64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</w:t>
            </w:r>
          </w:p>
        </w:tc>
        <w:tc>
          <w:tcPr>
            <w:tcW w:w="1538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5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82" w:lineRule="auto"/>
              <w:ind w:left="792"/>
            </w:pPr>
            <w:r>
              <w:rPr>
                <w:spacing w:val="-1"/>
              </w:rPr>
              <w:t>质量指标</w:t>
            </w:r>
          </w:p>
        </w:tc>
        <w:tc>
          <w:tcPr>
            <w:tcW w:w="1523" w:type="dxa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83" w:lineRule="auto"/>
              <w:ind w:left="304"/>
            </w:pPr>
            <w:r>
              <w:rPr>
                <w:spacing w:val="-1"/>
              </w:rPr>
              <w:t>测试通过率</w:t>
            </w:r>
          </w:p>
        </w:tc>
        <w:tc>
          <w:tcPr>
            <w:tcW w:w="1093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74" w:lineRule="auto"/>
              <w:ind w:left="257"/>
            </w:pPr>
            <w:r>
              <w:rPr>
                <w:spacing w:val="-4"/>
              </w:rPr>
              <w:t>=100%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</w:t>
            </w:r>
          </w:p>
        </w:tc>
        <w:tc>
          <w:tcPr>
            <w:tcW w:w="64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</w:t>
            </w:r>
          </w:p>
        </w:tc>
        <w:tc>
          <w:tcPr>
            <w:tcW w:w="1538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5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25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83" w:lineRule="auto"/>
              <w:ind w:left="800"/>
            </w:pPr>
            <w:r>
              <w:rPr>
                <w:spacing w:val="-2"/>
              </w:rPr>
              <w:t>时效指标</w:t>
            </w:r>
          </w:p>
        </w:tc>
        <w:tc>
          <w:tcPr>
            <w:tcW w:w="1523" w:type="dxa"/>
            <w:vAlign w:val="top"/>
          </w:tcPr>
          <w:p>
            <w:pPr>
              <w:spacing w:line="4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83" w:lineRule="auto"/>
              <w:ind w:left="124"/>
            </w:pPr>
            <w:r>
              <w:rPr>
                <w:spacing w:val="-1"/>
              </w:rPr>
              <w:t>数据推送及时率</w:t>
            </w:r>
          </w:p>
        </w:tc>
        <w:tc>
          <w:tcPr>
            <w:tcW w:w="1093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74" w:lineRule="auto"/>
              <w:ind w:left="257"/>
            </w:pPr>
            <w:r>
              <w:rPr>
                <w:spacing w:val="-4"/>
              </w:rPr>
              <w:t>=100%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64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1538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5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3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83" w:lineRule="auto"/>
              <w:ind w:left="173"/>
            </w:pPr>
            <w:r>
              <w:rPr>
                <w:spacing w:val="-1"/>
              </w:rPr>
              <w:t>效益指标</w:t>
            </w:r>
          </w:p>
        </w:tc>
        <w:tc>
          <w:tcPr>
            <w:tcW w:w="2325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82" w:lineRule="auto"/>
              <w:ind w:left="524"/>
            </w:pPr>
            <w:r>
              <w:rPr>
                <w:spacing w:val="-1"/>
              </w:rPr>
              <w:t>可持续影响指标</w:t>
            </w:r>
          </w:p>
        </w:tc>
        <w:tc>
          <w:tcPr>
            <w:tcW w:w="1523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82" w:lineRule="auto"/>
              <w:ind w:left="486"/>
            </w:pPr>
            <w:r>
              <w:rPr>
                <w:spacing w:val="-1"/>
              </w:rPr>
              <w:t>可持续</w:t>
            </w:r>
          </w:p>
        </w:tc>
        <w:tc>
          <w:tcPr>
            <w:tcW w:w="1093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74" w:lineRule="auto"/>
              <w:ind w:left="443"/>
            </w:pPr>
            <w:r>
              <w:rPr>
                <w:spacing w:val="-7"/>
              </w:rPr>
              <w:t>=1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</w:t>
            </w:r>
          </w:p>
        </w:tc>
        <w:tc>
          <w:tcPr>
            <w:tcW w:w="575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30</w:t>
            </w:r>
          </w:p>
        </w:tc>
        <w:tc>
          <w:tcPr>
            <w:tcW w:w="64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30</w:t>
            </w:r>
          </w:p>
        </w:tc>
        <w:tc>
          <w:tcPr>
            <w:tcW w:w="1538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55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3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84" w:lineRule="auto"/>
              <w:ind w:left="84"/>
            </w:pPr>
            <w:r>
              <w:rPr>
                <w:spacing w:val="-1"/>
              </w:rPr>
              <w:t>满意度指标</w:t>
            </w:r>
          </w:p>
        </w:tc>
        <w:tc>
          <w:tcPr>
            <w:tcW w:w="2325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84" w:lineRule="auto"/>
              <w:ind w:left="344"/>
            </w:pPr>
            <w:r>
              <w:rPr>
                <w:spacing w:val="-1"/>
              </w:rPr>
              <w:t>服务对象满意度指标</w:t>
            </w:r>
          </w:p>
        </w:tc>
        <w:tc>
          <w:tcPr>
            <w:tcW w:w="1523" w:type="dxa"/>
            <w:vAlign w:val="top"/>
          </w:tcPr>
          <w:p>
            <w:pPr>
              <w:spacing w:line="42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84" w:lineRule="auto"/>
              <w:ind w:left="484"/>
            </w:pPr>
            <w:r>
              <w:rPr>
                <w:spacing w:val="-1"/>
              </w:rPr>
              <w:t>满意率</w:t>
            </w:r>
          </w:p>
        </w:tc>
        <w:tc>
          <w:tcPr>
            <w:tcW w:w="1093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7" w:line="174" w:lineRule="auto"/>
              <w:ind w:left="337"/>
            </w:pPr>
            <w:r>
              <w:rPr>
                <w:spacing w:val="-5"/>
              </w:rPr>
              <w:t>=100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100</w:t>
            </w:r>
          </w:p>
        </w:tc>
        <w:tc>
          <w:tcPr>
            <w:tcW w:w="575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64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1538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582" w:type="dxa"/>
            <w:gridSpan w:val="6"/>
            <w:vAlign w:val="top"/>
          </w:tcPr>
          <w:p>
            <w:pPr>
              <w:pStyle w:val="6"/>
              <w:spacing w:before="150" w:line="183" w:lineRule="auto"/>
              <w:ind w:left="3607"/>
            </w:pPr>
            <w:r>
              <w:rPr>
                <w:spacing w:val="-1"/>
              </w:rPr>
              <w:t>总分</w:t>
            </w:r>
          </w:p>
        </w:tc>
        <w:tc>
          <w:tcPr>
            <w:tcW w:w="575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  <w:spacing w:before="161" w:line="174" w:lineRule="auto"/>
              <w:ind w:left="145"/>
            </w:pPr>
            <w:r>
              <w:rPr>
                <w:spacing w:val="-5"/>
              </w:rPr>
              <w:t>100</w:t>
            </w:r>
          </w:p>
        </w:tc>
        <w:tc>
          <w:tcPr>
            <w:tcW w:w="64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spacing w:before="163" w:line="173" w:lineRule="auto"/>
              <w:ind w:left="141"/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94.34</w:t>
            </w:r>
          </w:p>
        </w:tc>
        <w:tc>
          <w:tcPr>
            <w:tcW w:w="1538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53" w:lineRule="auto"/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textAlignment w:val="baseline"/>
      </w:pPr>
    </w:p>
    <w:p>
      <w:pPr>
        <w:pStyle w:val="2"/>
        <w:spacing w:line="254" w:lineRule="auto"/>
      </w:pPr>
      <w:bookmarkStart w:id="0" w:name="_GoBack"/>
      <w:bookmarkEnd w:id="0"/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textAlignment w:val="baseline"/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textAlignment w:val="baseline"/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textAlignment w:val="baseline"/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20" w:lineRule="exact"/>
        <w:ind w:left="4955"/>
        <w:textAlignment w:val="baseline"/>
        <w:rPr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20" w:lineRule="exact"/>
        <w:ind w:left="4955"/>
        <w:textAlignment w:val="baseline"/>
        <w:rPr>
          <w:sz w:val="24"/>
          <w:szCs w:val="24"/>
        </w:rPr>
      </w:pPr>
    </w:p>
    <w:sectPr>
      <w:pgSz w:w="12240" w:h="15840"/>
      <w:pgMar w:top="840" w:right="1050" w:bottom="0" w:left="8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Y2NDk4OTUyM2Y4NDI4NGUyN2Y5ZTFiYmFiOGUwMzYifQ=="/>
  </w:docVars>
  <w:rsids>
    <w:rsidRoot w:val="00000000"/>
    <w:rsid w:val="0A3C4725"/>
    <w:rsid w:val="1C6D1B45"/>
    <w:rsid w:val="24F71C30"/>
    <w:rsid w:val="267A619D"/>
    <w:rsid w:val="294670FD"/>
    <w:rsid w:val="38CC09FE"/>
    <w:rsid w:val="43725E62"/>
    <w:rsid w:val="59973972"/>
    <w:rsid w:val="6279723E"/>
    <w:rsid w:val="6F9E54E7"/>
    <w:rsid w:val="733749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微软雅黑" w:hAnsi="微软雅黑" w:eastAsia="微软雅黑" w:cs="微软雅黑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2024-02-19T13:17:00Z</dcterms:created>
  <dc:creator>Administrator</dc:creator>
  <cp:lastModifiedBy>✨小婷✨</cp:lastModifiedBy>
  <cp:lastPrinted>2024-02-29T06:54:12Z</cp:lastPrinted>
  <dcterms:modified xsi:type="dcterms:W3CDTF">2024-02-29T07:12:25Z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2024-02-19T13:42:02Z</vt:filetime>
  </property>
  <property fmtid="{D5CDD505-2E9C-101B-9397-08002B2CF9AE}" pid="4" name="KSOProductBuildVer">
    <vt:lpwstr>2052-12.1.0.16388</vt:lpwstr>
  </property>
  <property fmtid="{D5CDD505-2E9C-101B-9397-08002B2CF9AE}" pid="5" name="ICV">
    <vt:lpwstr>EF528738DC064D2BA7CD30054F62F9C7_13</vt:lpwstr>
  </property>
</Properties>
</file>